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7F46C3" w:rsidP="00D06D67">
                  <w:pPr>
                    <w:jc w:val="center"/>
                    <w:rPr>
                      <w:b/>
                      <w:sz w:val="28"/>
                      <w:szCs w:val="28"/>
                    </w:rPr>
                  </w:pPr>
                  <w:r>
                    <w:rPr>
                      <w:b/>
                      <w:sz w:val="28"/>
                      <w:szCs w:val="28"/>
                    </w:rPr>
                    <w:t>18 апреля</w:t>
                  </w:r>
                  <w:r w:rsidR="00D2565A">
                    <w:rPr>
                      <w:b/>
                      <w:sz w:val="28"/>
                      <w:szCs w:val="28"/>
                    </w:rPr>
                    <w:t xml:space="preserve"> 2025</w:t>
                  </w:r>
                  <w:r w:rsidR="00ED021F" w:rsidRPr="001F43C3">
                    <w:rPr>
                      <w:b/>
                      <w:sz w:val="28"/>
                      <w:szCs w:val="28"/>
                    </w:rPr>
                    <w:t xml:space="preserve"> года</w:t>
                  </w:r>
                </w:p>
                <w:p w:rsidR="00ED021F" w:rsidRPr="000D2327" w:rsidRDefault="005A69E9" w:rsidP="00D06D67">
                  <w:pPr>
                    <w:jc w:val="center"/>
                  </w:pPr>
                  <w:r>
                    <w:rPr>
                      <w:b/>
                      <w:sz w:val="28"/>
                      <w:szCs w:val="28"/>
                    </w:rPr>
                    <w:t>№</w:t>
                  </w:r>
                  <w:r w:rsidR="007F46C3">
                    <w:rPr>
                      <w:b/>
                      <w:sz w:val="28"/>
                      <w:szCs w:val="28"/>
                    </w:rPr>
                    <w:t>86</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202F85" w:rsidRPr="00202F85" w:rsidRDefault="00202F85" w:rsidP="00202F85">
      <w:pPr>
        <w:widowControl/>
        <w:autoSpaceDE/>
        <w:autoSpaceDN/>
        <w:jc w:val="right"/>
        <w:rPr>
          <w:b/>
          <w:sz w:val="28"/>
          <w:szCs w:val="20"/>
          <w:lang w:eastAsia="ru-RU"/>
        </w:rPr>
      </w:pPr>
      <w:r w:rsidRPr="00202F85">
        <w:rPr>
          <w:b/>
          <w:noProof/>
          <w:sz w:val="28"/>
          <w:szCs w:val="20"/>
          <w:lang w:eastAsia="ru-RU"/>
        </w:rPr>
        <w:drawing>
          <wp:anchor distT="0" distB="0" distL="114300" distR="114300" simplePos="0" relativeHeight="251674624" behindDoc="0" locked="0" layoutInCell="1" allowOverlap="1">
            <wp:simplePos x="0" y="0"/>
            <wp:positionH relativeFrom="column">
              <wp:posOffset>2859488</wp:posOffset>
            </wp:positionH>
            <wp:positionV relativeFrom="paragraph">
              <wp:posOffset>95416</wp:posOffset>
            </wp:positionV>
            <wp:extent cx="584200" cy="685800"/>
            <wp:effectExtent l="0" t="0" r="6350" b="0"/>
            <wp:wrapSquare wrapText="left"/>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F85" w:rsidRPr="00202F85" w:rsidRDefault="00202F85" w:rsidP="00202F85">
      <w:pPr>
        <w:widowControl/>
        <w:autoSpaceDE/>
        <w:autoSpaceDN/>
        <w:jc w:val="center"/>
        <w:rPr>
          <w:b/>
          <w:sz w:val="28"/>
          <w:szCs w:val="20"/>
          <w:lang w:eastAsia="ru-RU"/>
        </w:rPr>
      </w:pPr>
    </w:p>
    <w:p w:rsidR="00202F85" w:rsidRPr="00202F85" w:rsidRDefault="00202F85" w:rsidP="00202F85">
      <w:pPr>
        <w:widowControl/>
        <w:autoSpaceDE/>
        <w:autoSpaceDN/>
        <w:rPr>
          <w:b/>
          <w:sz w:val="28"/>
          <w:szCs w:val="20"/>
          <w:lang w:eastAsia="ru-RU"/>
        </w:rPr>
      </w:pPr>
    </w:p>
    <w:p w:rsidR="00202F85" w:rsidRPr="00202F85" w:rsidRDefault="00202F85" w:rsidP="00202F85">
      <w:pPr>
        <w:widowControl/>
        <w:autoSpaceDE/>
        <w:autoSpaceDN/>
        <w:jc w:val="center"/>
        <w:rPr>
          <w:b/>
          <w:sz w:val="28"/>
          <w:szCs w:val="20"/>
          <w:lang w:eastAsia="ru-RU"/>
        </w:rPr>
      </w:pPr>
    </w:p>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 xml:space="preserve"> </w:t>
      </w:r>
    </w:p>
    <w:p w:rsidR="00202F85" w:rsidRPr="00202F85" w:rsidRDefault="00202F85" w:rsidP="00202F85">
      <w:pPr>
        <w:widowControl/>
        <w:autoSpaceDE/>
        <w:autoSpaceDN/>
        <w:jc w:val="center"/>
        <w:rPr>
          <w:sz w:val="20"/>
          <w:szCs w:val="20"/>
          <w:lang w:eastAsia="ru-RU"/>
        </w:rPr>
      </w:pPr>
      <w:r w:rsidRPr="00202F85">
        <w:rPr>
          <w:sz w:val="20"/>
          <w:szCs w:val="20"/>
          <w:lang w:eastAsia="ru-RU"/>
        </w:rPr>
        <w:t>КУРГАНСКАЯ ОБЛАСТЬ</w:t>
      </w:r>
    </w:p>
    <w:p w:rsidR="00202F85" w:rsidRPr="00202F85" w:rsidRDefault="00202F85" w:rsidP="00202F85">
      <w:pPr>
        <w:widowControl/>
        <w:autoSpaceDE/>
        <w:autoSpaceDN/>
        <w:jc w:val="center"/>
        <w:rPr>
          <w:sz w:val="20"/>
          <w:szCs w:val="20"/>
          <w:lang w:eastAsia="ru-RU"/>
        </w:rPr>
      </w:pPr>
      <w:r w:rsidRPr="00202F85">
        <w:rPr>
          <w:sz w:val="20"/>
          <w:szCs w:val="20"/>
          <w:lang w:eastAsia="ru-RU"/>
        </w:rPr>
        <w:t>МОКРОУСОВСКИЙ МУНИЦИПАЛЬНЫЙ ОКРУГ</w:t>
      </w:r>
    </w:p>
    <w:p w:rsidR="00202F85" w:rsidRPr="00202F85" w:rsidRDefault="00202F85" w:rsidP="00202F85">
      <w:pPr>
        <w:widowControl/>
        <w:autoSpaceDE/>
        <w:autoSpaceDN/>
        <w:jc w:val="center"/>
        <w:rPr>
          <w:sz w:val="20"/>
          <w:szCs w:val="20"/>
          <w:lang w:eastAsia="ru-RU"/>
        </w:rPr>
      </w:pPr>
      <w:r w:rsidRPr="00202F85">
        <w:rPr>
          <w:sz w:val="20"/>
          <w:szCs w:val="20"/>
          <w:lang w:eastAsia="ru-RU"/>
        </w:rPr>
        <w:t>АДМИНИСТРАЦИЯ МОКРОУСОВСКОГО МУНИЦИПАЛЬНОГО ОКРУГА</w:t>
      </w:r>
    </w:p>
    <w:p w:rsidR="00202F85" w:rsidRPr="00202F85" w:rsidRDefault="00202F85" w:rsidP="00202F85">
      <w:pPr>
        <w:widowControl/>
        <w:autoSpaceDE/>
        <w:autoSpaceDN/>
        <w:jc w:val="center"/>
        <w:rPr>
          <w:sz w:val="20"/>
          <w:szCs w:val="20"/>
          <w:lang w:eastAsia="ru-RU"/>
        </w:rPr>
      </w:pPr>
      <w:r w:rsidRPr="00202F85">
        <w:rPr>
          <w:sz w:val="20"/>
          <w:szCs w:val="20"/>
          <w:lang w:eastAsia="ru-RU"/>
        </w:rPr>
        <w:t>КУРГАНСКОЙ ОБЛАСТИ</w:t>
      </w:r>
    </w:p>
    <w:p w:rsidR="00202F85" w:rsidRPr="00202F85" w:rsidRDefault="00202F85" w:rsidP="00202F85">
      <w:pPr>
        <w:widowControl/>
        <w:autoSpaceDE/>
        <w:autoSpaceDN/>
        <w:rPr>
          <w:sz w:val="20"/>
          <w:szCs w:val="20"/>
          <w:lang w:eastAsia="ru-RU"/>
        </w:rPr>
      </w:pPr>
    </w:p>
    <w:p w:rsidR="00202F85" w:rsidRPr="00202F85" w:rsidRDefault="00202F85" w:rsidP="00202F85">
      <w:pPr>
        <w:widowControl/>
        <w:autoSpaceDE/>
        <w:autoSpaceDN/>
        <w:jc w:val="center"/>
        <w:rPr>
          <w:sz w:val="20"/>
          <w:szCs w:val="20"/>
          <w:lang w:eastAsia="ru-RU"/>
        </w:rPr>
      </w:pPr>
      <w:r w:rsidRPr="00202F85">
        <w:rPr>
          <w:sz w:val="20"/>
          <w:szCs w:val="20"/>
          <w:lang w:eastAsia="ru-RU"/>
        </w:rPr>
        <w:t>ПОСТАНОВЛЕНИЕ</w:t>
      </w:r>
    </w:p>
    <w:p w:rsidR="00202F85" w:rsidRPr="00202F85" w:rsidRDefault="00202F85" w:rsidP="00202F85">
      <w:pPr>
        <w:widowControl/>
        <w:autoSpaceDE/>
        <w:autoSpaceDN/>
        <w:jc w:val="center"/>
        <w:rPr>
          <w:bCs/>
          <w:sz w:val="20"/>
          <w:szCs w:val="20"/>
          <w:lang w:eastAsia="ru-RU"/>
        </w:rPr>
      </w:pPr>
    </w:p>
    <w:p w:rsidR="00202F85" w:rsidRPr="00202F85" w:rsidRDefault="00202F85" w:rsidP="00202F85">
      <w:pPr>
        <w:widowControl/>
        <w:autoSpaceDE/>
        <w:autoSpaceDN/>
        <w:rPr>
          <w:sz w:val="20"/>
          <w:szCs w:val="20"/>
          <w:lang w:eastAsia="ru-RU"/>
        </w:rPr>
      </w:pPr>
      <w:r w:rsidRPr="00202F85">
        <w:rPr>
          <w:sz w:val="20"/>
          <w:szCs w:val="20"/>
          <w:lang w:eastAsia="ru-RU"/>
        </w:rPr>
        <w:t>от    16    апреля 2025 года   № 164</w:t>
      </w:r>
    </w:p>
    <w:p w:rsidR="00202F85" w:rsidRPr="00202F85" w:rsidRDefault="00202F85" w:rsidP="00202F85">
      <w:pPr>
        <w:widowControl/>
        <w:autoSpaceDE/>
        <w:autoSpaceDN/>
        <w:rPr>
          <w:sz w:val="20"/>
          <w:szCs w:val="20"/>
          <w:lang w:eastAsia="ru-RU"/>
        </w:rPr>
      </w:pPr>
      <w:r w:rsidRPr="00202F85">
        <w:rPr>
          <w:sz w:val="20"/>
          <w:szCs w:val="20"/>
          <w:lang w:eastAsia="ru-RU"/>
        </w:rPr>
        <w:t xml:space="preserve">      с. Мокроусово</w:t>
      </w:r>
    </w:p>
    <w:p w:rsidR="00202F85" w:rsidRPr="00202F85" w:rsidRDefault="00202F85" w:rsidP="00202F85">
      <w:pPr>
        <w:widowControl/>
        <w:autoSpaceDE/>
        <w:autoSpaceDN/>
        <w:rPr>
          <w:sz w:val="20"/>
          <w:szCs w:val="20"/>
          <w:lang w:eastAsia="ru-RU"/>
        </w:rPr>
      </w:pPr>
    </w:p>
    <w:p w:rsidR="00202F85" w:rsidRPr="00202F85" w:rsidRDefault="00202F85" w:rsidP="00202F85">
      <w:pPr>
        <w:widowControl/>
        <w:autoSpaceDE/>
        <w:autoSpaceDN/>
        <w:rPr>
          <w:sz w:val="20"/>
          <w:szCs w:val="20"/>
          <w:lang w:eastAsia="ru-RU"/>
        </w:rPr>
      </w:pPr>
      <w:bookmarkStart w:id="0" w:name="_Hlk135815014"/>
      <w:r w:rsidRPr="00202F85">
        <w:rPr>
          <w:sz w:val="20"/>
          <w:szCs w:val="20"/>
          <w:lang w:eastAsia="ru-RU"/>
        </w:rPr>
        <w:t xml:space="preserve">Об исполнении </w:t>
      </w:r>
      <w:bookmarkStart w:id="1" w:name="_Hlk135814777"/>
      <w:r w:rsidRPr="00202F85">
        <w:rPr>
          <w:sz w:val="20"/>
          <w:szCs w:val="20"/>
          <w:lang w:eastAsia="ru-RU"/>
        </w:rPr>
        <w:t xml:space="preserve">бюджета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w:t>
      </w:r>
    </w:p>
    <w:p w:rsidR="00202F85" w:rsidRPr="00202F85" w:rsidRDefault="00202F85" w:rsidP="00202F85">
      <w:pPr>
        <w:widowControl/>
        <w:autoSpaceDE/>
        <w:autoSpaceDN/>
        <w:rPr>
          <w:sz w:val="20"/>
          <w:szCs w:val="20"/>
          <w:lang w:eastAsia="ru-RU"/>
        </w:rPr>
      </w:pPr>
      <w:r w:rsidRPr="00202F85">
        <w:rPr>
          <w:sz w:val="20"/>
          <w:szCs w:val="20"/>
          <w:lang w:eastAsia="ru-RU"/>
        </w:rPr>
        <w:t>округа Курганской области за 1 квартал 2025 года</w:t>
      </w:r>
    </w:p>
    <w:bookmarkEnd w:id="0"/>
    <w:bookmarkEnd w:id="1"/>
    <w:p w:rsidR="00202F85" w:rsidRPr="00202F85" w:rsidRDefault="00202F85" w:rsidP="00202F85">
      <w:pPr>
        <w:widowControl/>
        <w:autoSpaceDE/>
        <w:autoSpaceDN/>
        <w:rPr>
          <w:b/>
          <w:bCs/>
          <w:sz w:val="20"/>
          <w:szCs w:val="20"/>
          <w:lang w:eastAsia="ru-RU"/>
        </w:rPr>
      </w:pPr>
    </w:p>
    <w:p w:rsidR="00202F85" w:rsidRPr="00202F85" w:rsidRDefault="00202F85" w:rsidP="00202F85">
      <w:pPr>
        <w:widowControl/>
        <w:autoSpaceDE/>
        <w:autoSpaceDN/>
        <w:rPr>
          <w:b/>
          <w:bCs/>
          <w:sz w:val="20"/>
          <w:szCs w:val="20"/>
          <w:lang w:eastAsia="ru-RU"/>
        </w:rPr>
      </w:pPr>
    </w:p>
    <w:p w:rsidR="00202F85" w:rsidRPr="00202F85" w:rsidRDefault="00202F85" w:rsidP="00202F85">
      <w:pPr>
        <w:widowControl/>
        <w:autoSpaceDE/>
        <w:autoSpaceDN/>
        <w:jc w:val="both"/>
        <w:rPr>
          <w:bCs/>
          <w:sz w:val="20"/>
          <w:szCs w:val="20"/>
          <w:lang w:eastAsia="ru-RU"/>
        </w:rPr>
      </w:pPr>
      <w:r w:rsidRPr="00202F85">
        <w:rPr>
          <w:b/>
          <w:bCs/>
          <w:sz w:val="20"/>
          <w:szCs w:val="20"/>
          <w:lang w:eastAsia="ru-RU"/>
        </w:rPr>
        <w:t xml:space="preserve">      </w:t>
      </w:r>
      <w:r w:rsidRPr="00202F85">
        <w:rPr>
          <w:bCs/>
          <w:sz w:val="20"/>
          <w:szCs w:val="20"/>
          <w:lang w:eastAsia="ru-RU"/>
        </w:rPr>
        <w:t xml:space="preserve">В соответствии со статьей 264.2 Бюджетного кодекса Российской Федерации, статьей 39 решения Думы </w:t>
      </w:r>
      <w:proofErr w:type="spellStart"/>
      <w:r w:rsidRPr="00202F85">
        <w:rPr>
          <w:bCs/>
          <w:sz w:val="20"/>
          <w:szCs w:val="20"/>
          <w:lang w:eastAsia="ru-RU"/>
        </w:rPr>
        <w:t>Мокроусовского</w:t>
      </w:r>
      <w:proofErr w:type="spellEnd"/>
      <w:r w:rsidRPr="00202F85">
        <w:rPr>
          <w:bCs/>
          <w:sz w:val="20"/>
          <w:szCs w:val="20"/>
          <w:lang w:eastAsia="ru-RU"/>
        </w:rPr>
        <w:t xml:space="preserve"> муниципального округа от 15.05.2022 года № 15 «Об утверждении Положения о бюджетном процессе в </w:t>
      </w:r>
      <w:proofErr w:type="spellStart"/>
      <w:r w:rsidRPr="00202F85">
        <w:rPr>
          <w:bCs/>
          <w:sz w:val="20"/>
          <w:szCs w:val="20"/>
          <w:lang w:eastAsia="ru-RU"/>
        </w:rPr>
        <w:t>Мокроусовском</w:t>
      </w:r>
      <w:proofErr w:type="spellEnd"/>
      <w:r w:rsidRPr="00202F85">
        <w:rPr>
          <w:bCs/>
          <w:sz w:val="20"/>
          <w:szCs w:val="20"/>
          <w:lang w:eastAsia="ru-RU"/>
        </w:rPr>
        <w:t xml:space="preserve"> муниципальном округе Курганской области»:</w:t>
      </w:r>
    </w:p>
    <w:p w:rsidR="00202F85" w:rsidRPr="00202F85" w:rsidRDefault="00202F85" w:rsidP="00202F85">
      <w:pPr>
        <w:widowControl/>
        <w:autoSpaceDE/>
        <w:autoSpaceDN/>
        <w:jc w:val="both"/>
        <w:rPr>
          <w:sz w:val="20"/>
          <w:szCs w:val="20"/>
          <w:lang w:eastAsia="ru-RU"/>
        </w:rPr>
      </w:pPr>
      <w:r w:rsidRPr="00202F85">
        <w:rPr>
          <w:sz w:val="20"/>
          <w:szCs w:val="20"/>
          <w:lang w:eastAsia="ru-RU"/>
        </w:rPr>
        <w:t xml:space="preserve">    1. Утвердить отчёт   об исполнении   </w:t>
      </w:r>
      <w:bookmarkStart w:id="2" w:name="_Hlk135830403"/>
      <w:r w:rsidRPr="00202F85">
        <w:rPr>
          <w:sz w:val="20"/>
          <w:szCs w:val="20"/>
          <w:lang w:eastAsia="ru-RU"/>
        </w:rPr>
        <w:t xml:space="preserve">бюджета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округа Курганской области за 1 квартал 2025 года </w:t>
      </w:r>
      <w:bookmarkEnd w:id="2"/>
      <w:r w:rsidRPr="00202F85">
        <w:rPr>
          <w:sz w:val="20"/>
          <w:szCs w:val="20"/>
          <w:lang w:eastAsia="ru-RU"/>
        </w:rPr>
        <w:t xml:space="preserve">по доходам в сумме 194 786,9 тыс. руб., по расходам в сумме 171 915,4 тыс. руб., превышение доходов над расходами (профицит бюджета) в сумме 22 871,5 тыс. руб. </w:t>
      </w:r>
    </w:p>
    <w:p w:rsidR="00202F85" w:rsidRPr="00202F85" w:rsidRDefault="00202F85" w:rsidP="00202F85">
      <w:pPr>
        <w:widowControl/>
        <w:autoSpaceDE/>
        <w:autoSpaceDN/>
        <w:jc w:val="both"/>
        <w:rPr>
          <w:sz w:val="20"/>
          <w:szCs w:val="20"/>
          <w:lang w:eastAsia="ru-RU"/>
        </w:rPr>
      </w:pPr>
      <w:r w:rsidRPr="00202F85">
        <w:rPr>
          <w:sz w:val="20"/>
          <w:szCs w:val="20"/>
          <w:lang w:eastAsia="ru-RU"/>
        </w:rPr>
        <w:t xml:space="preserve">     2. Для сведения направить отчет об исполнении бюджета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округа Курганской области за 1 квартал 2025 года в </w:t>
      </w:r>
      <w:bookmarkStart w:id="3" w:name="_Hlk135814920"/>
      <w:r w:rsidRPr="00202F85">
        <w:rPr>
          <w:sz w:val="20"/>
          <w:szCs w:val="20"/>
          <w:lang w:eastAsia="ru-RU"/>
        </w:rPr>
        <w:t xml:space="preserve">Думу </w:t>
      </w:r>
      <w:proofErr w:type="spellStart"/>
      <w:r w:rsidRPr="00202F85">
        <w:rPr>
          <w:bCs/>
          <w:sz w:val="20"/>
          <w:szCs w:val="20"/>
          <w:lang w:eastAsia="ru-RU"/>
        </w:rPr>
        <w:t>Мокроусовского</w:t>
      </w:r>
      <w:proofErr w:type="spellEnd"/>
      <w:r w:rsidRPr="00202F85">
        <w:rPr>
          <w:bCs/>
          <w:sz w:val="20"/>
          <w:szCs w:val="20"/>
          <w:lang w:eastAsia="ru-RU"/>
        </w:rPr>
        <w:t xml:space="preserve"> муниципального округа</w:t>
      </w:r>
      <w:r w:rsidRPr="00202F85">
        <w:rPr>
          <w:sz w:val="20"/>
          <w:szCs w:val="20"/>
          <w:lang w:eastAsia="ru-RU"/>
        </w:rPr>
        <w:t xml:space="preserve"> </w:t>
      </w:r>
      <w:bookmarkEnd w:id="3"/>
      <w:r w:rsidRPr="00202F85">
        <w:rPr>
          <w:sz w:val="20"/>
          <w:szCs w:val="20"/>
          <w:lang w:eastAsia="ru-RU"/>
        </w:rPr>
        <w:t>(приложение).</w:t>
      </w:r>
    </w:p>
    <w:p w:rsidR="00202F85" w:rsidRPr="00202F85" w:rsidRDefault="00202F85" w:rsidP="00202F85">
      <w:pPr>
        <w:widowControl/>
        <w:autoSpaceDE/>
        <w:autoSpaceDN/>
        <w:jc w:val="both"/>
        <w:rPr>
          <w:sz w:val="20"/>
          <w:szCs w:val="20"/>
          <w:lang w:eastAsia="ru-RU"/>
        </w:rPr>
      </w:pPr>
      <w:r w:rsidRPr="00202F85">
        <w:rPr>
          <w:sz w:val="20"/>
          <w:szCs w:val="20"/>
          <w:lang w:eastAsia="ru-RU"/>
        </w:rPr>
        <w:t xml:space="preserve">      3. Опубликовать настоящее постановление в «Информационном вестнике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округа Курганской области».</w:t>
      </w:r>
    </w:p>
    <w:p w:rsidR="00202F85" w:rsidRPr="00202F85" w:rsidRDefault="00202F85" w:rsidP="00202F85">
      <w:pPr>
        <w:widowControl/>
        <w:autoSpaceDE/>
        <w:autoSpaceDN/>
        <w:ind w:left="240"/>
        <w:jc w:val="both"/>
        <w:rPr>
          <w:sz w:val="20"/>
          <w:szCs w:val="20"/>
          <w:lang w:eastAsia="ru-RU"/>
        </w:rPr>
      </w:pPr>
    </w:p>
    <w:p w:rsidR="00202F85" w:rsidRPr="00202F85" w:rsidRDefault="00202F85" w:rsidP="00202F85">
      <w:pPr>
        <w:widowControl/>
        <w:autoSpaceDE/>
        <w:autoSpaceDN/>
        <w:ind w:left="240"/>
        <w:jc w:val="both"/>
        <w:rPr>
          <w:sz w:val="20"/>
          <w:szCs w:val="20"/>
          <w:lang w:eastAsia="ru-RU"/>
        </w:rPr>
      </w:pPr>
    </w:p>
    <w:p w:rsidR="00202F85" w:rsidRPr="00202F85" w:rsidRDefault="00202F85" w:rsidP="00202F85">
      <w:pPr>
        <w:widowControl/>
        <w:autoSpaceDE/>
        <w:autoSpaceDN/>
        <w:ind w:left="240"/>
        <w:jc w:val="both"/>
        <w:rPr>
          <w:sz w:val="20"/>
          <w:szCs w:val="20"/>
          <w:lang w:eastAsia="ru-RU"/>
        </w:rPr>
      </w:pPr>
    </w:p>
    <w:p w:rsidR="00202F85" w:rsidRPr="00202F85" w:rsidRDefault="00202F85" w:rsidP="00202F85">
      <w:pPr>
        <w:widowControl/>
        <w:autoSpaceDE/>
        <w:autoSpaceDN/>
        <w:jc w:val="both"/>
        <w:rPr>
          <w:sz w:val="20"/>
          <w:szCs w:val="20"/>
          <w:lang w:eastAsia="ru-RU"/>
        </w:rPr>
      </w:pPr>
      <w:r w:rsidRPr="00202F85">
        <w:rPr>
          <w:sz w:val="20"/>
          <w:szCs w:val="20"/>
          <w:lang w:eastAsia="ru-RU"/>
        </w:rPr>
        <w:t xml:space="preserve">Глава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округа                                       </w:t>
      </w:r>
      <w:r>
        <w:rPr>
          <w:sz w:val="20"/>
          <w:szCs w:val="20"/>
          <w:lang w:eastAsia="ru-RU"/>
        </w:rPr>
        <w:t xml:space="preserve">              </w:t>
      </w:r>
      <w:r w:rsidRPr="00202F85">
        <w:rPr>
          <w:sz w:val="20"/>
          <w:szCs w:val="20"/>
          <w:lang w:eastAsia="ru-RU"/>
        </w:rPr>
        <w:t xml:space="preserve">  В.В. </w:t>
      </w:r>
      <w:proofErr w:type="spellStart"/>
      <w:r w:rsidRPr="00202F85">
        <w:rPr>
          <w:sz w:val="20"/>
          <w:szCs w:val="20"/>
          <w:lang w:eastAsia="ru-RU"/>
        </w:rPr>
        <w:t>Демешкин</w:t>
      </w:r>
      <w:proofErr w:type="spellEnd"/>
      <w:r w:rsidRPr="00202F85">
        <w:rPr>
          <w:sz w:val="20"/>
          <w:szCs w:val="20"/>
          <w:lang w:eastAsia="ru-RU"/>
        </w:rPr>
        <w:t xml:space="preserve">                       </w:t>
      </w:r>
    </w:p>
    <w:p w:rsidR="00202F85" w:rsidRPr="00202F85" w:rsidRDefault="00202F85" w:rsidP="00202F85">
      <w:pPr>
        <w:widowControl/>
        <w:autoSpaceDE/>
        <w:autoSpaceDN/>
        <w:ind w:left="240"/>
        <w:jc w:val="both"/>
        <w:rPr>
          <w:sz w:val="20"/>
          <w:szCs w:val="20"/>
          <w:lang w:eastAsia="ru-RU"/>
        </w:rPr>
      </w:pPr>
    </w:p>
    <w:tbl>
      <w:tblPr>
        <w:tblW w:w="0" w:type="auto"/>
        <w:tblLook w:val="04A0" w:firstRow="1" w:lastRow="0" w:firstColumn="1" w:lastColumn="0" w:noHBand="0" w:noVBand="1"/>
      </w:tblPr>
      <w:tblGrid>
        <w:gridCol w:w="4219"/>
        <w:gridCol w:w="5352"/>
      </w:tblGrid>
      <w:tr w:rsidR="00202F85" w:rsidRPr="00202F85" w:rsidTr="00976CA7">
        <w:trPr>
          <w:trHeight w:val="1459"/>
        </w:trPr>
        <w:tc>
          <w:tcPr>
            <w:tcW w:w="4219" w:type="dxa"/>
            <w:shd w:val="clear" w:color="auto" w:fill="auto"/>
          </w:tcPr>
          <w:p w:rsidR="00202F85" w:rsidRPr="00202F85" w:rsidRDefault="00202F85" w:rsidP="00202F85">
            <w:pPr>
              <w:widowControl/>
              <w:autoSpaceDE/>
              <w:autoSpaceDN/>
              <w:jc w:val="center"/>
              <w:rPr>
                <w:sz w:val="20"/>
                <w:szCs w:val="20"/>
                <w:lang w:eastAsia="ru-RU"/>
              </w:rPr>
            </w:pPr>
            <w:r w:rsidRPr="00202F85">
              <w:rPr>
                <w:b/>
                <w:bCs/>
                <w:sz w:val="20"/>
                <w:szCs w:val="20"/>
                <w:lang w:eastAsia="ru-RU"/>
              </w:rPr>
              <w:lastRenderedPageBreak/>
              <w:t xml:space="preserve">                                  </w:t>
            </w:r>
          </w:p>
        </w:tc>
        <w:tc>
          <w:tcPr>
            <w:tcW w:w="5352" w:type="dxa"/>
            <w:shd w:val="clear" w:color="auto" w:fill="auto"/>
            <w:vAlign w:val="center"/>
          </w:tcPr>
          <w:p w:rsidR="00202F85" w:rsidRPr="00202F85" w:rsidRDefault="00202F85" w:rsidP="00202F85">
            <w:pPr>
              <w:widowControl/>
              <w:autoSpaceDE/>
              <w:autoSpaceDN/>
              <w:jc w:val="right"/>
              <w:rPr>
                <w:sz w:val="20"/>
                <w:szCs w:val="20"/>
                <w:lang w:eastAsia="ru-RU"/>
              </w:rPr>
            </w:pPr>
            <w:r w:rsidRPr="00202F85">
              <w:rPr>
                <w:sz w:val="20"/>
                <w:szCs w:val="20"/>
                <w:lang w:eastAsia="ru-RU"/>
              </w:rPr>
              <w:t xml:space="preserve">Приложение к постановлению Администрации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округа Курганской области  </w:t>
            </w:r>
          </w:p>
          <w:p w:rsidR="00202F85" w:rsidRPr="00202F85" w:rsidRDefault="00202F85" w:rsidP="00202F85">
            <w:pPr>
              <w:widowControl/>
              <w:autoSpaceDE/>
              <w:autoSpaceDN/>
              <w:jc w:val="right"/>
              <w:rPr>
                <w:sz w:val="20"/>
                <w:szCs w:val="20"/>
                <w:lang w:eastAsia="ru-RU"/>
              </w:rPr>
            </w:pPr>
            <w:r w:rsidRPr="00202F85">
              <w:rPr>
                <w:sz w:val="20"/>
                <w:szCs w:val="20"/>
                <w:lang w:eastAsia="ru-RU"/>
              </w:rPr>
              <w:t xml:space="preserve">от 16 апреля  2025 года № 164 </w:t>
            </w:r>
          </w:p>
          <w:p w:rsidR="00202F85" w:rsidRPr="00202F85" w:rsidRDefault="00202F85" w:rsidP="00202F85">
            <w:pPr>
              <w:widowControl/>
              <w:autoSpaceDE/>
              <w:autoSpaceDN/>
              <w:jc w:val="right"/>
              <w:rPr>
                <w:sz w:val="20"/>
                <w:szCs w:val="20"/>
                <w:lang w:eastAsia="ru-RU"/>
              </w:rPr>
            </w:pPr>
            <w:r w:rsidRPr="00202F85">
              <w:rPr>
                <w:sz w:val="20"/>
                <w:szCs w:val="20"/>
                <w:lang w:eastAsia="ru-RU"/>
              </w:rPr>
              <w:t xml:space="preserve">Об исполнении бюджета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округа Курганской области </w:t>
            </w:r>
          </w:p>
          <w:p w:rsidR="00202F85" w:rsidRPr="00202F85" w:rsidRDefault="00202F85" w:rsidP="00202F85">
            <w:pPr>
              <w:widowControl/>
              <w:autoSpaceDE/>
              <w:autoSpaceDN/>
              <w:jc w:val="right"/>
              <w:rPr>
                <w:sz w:val="20"/>
                <w:szCs w:val="20"/>
                <w:lang w:eastAsia="ru-RU"/>
              </w:rPr>
            </w:pPr>
            <w:r w:rsidRPr="00202F85">
              <w:rPr>
                <w:sz w:val="20"/>
                <w:szCs w:val="20"/>
                <w:lang w:eastAsia="ru-RU"/>
              </w:rPr>
              <w:t>за 1 квартал 2025 года</w:t>
            </w:r>
          </w:p>
          <w:p w:rsidR="00202F85" w:rsidRPr="00202F85" w:rsidRDefault="00202F85" w:rsidP="00202F85">
            <w:pPr>
              <w:widowControl/>
              <w:autoSpaceDE/>
              <w:autoSpaceDN/>
              <w:jc w:val="center"/>
              <w:rPr>
                <w:sz w:val="20"/>
                <w:szCs w:val="20"/>
                <w:lang w:eastAsia="ru-RU"/>
              </w:rPr>
            </w:pPr>
          </w:p>
        </w:tc>
      </w:tr>
    </w:tbl>
    <w:p w:rsidR="00202F85" w:rsidRPr="00202F85" w:rsidRDefault="00202F85" w:rsidP="00202F85">
      <w:pPr>
        <w:widowControl/>
        <w:autoSpaceDE/>
        <w:autoSpaceDN/>
        <w:jc w:val="center"/>
        <w:rPr>
          <w:sz w:val="20"/>
          <w:szCs w:val="20"/>
          <w:lang w:eastAsia="ru-RU"/>
        </w:rPr>
      </w:pPr>
    </w:p>
    <w:p w:rsidR="00202F85" w:rsidRPr="00202F85" w:rsidRDefault="00202F85" w:rsidP="00202F85">
      <w:pPr>
        <w:widowControl/>
        <w:autoSpaceDE/>
        <w:autoSpaceDN/>
        <w:jc w:val="center"/>
        <w:rPr>
          <w:sz w:val="20"/>
          <w:szCs w:val="20"/>
          <w:lang w:eastAsia="ru-RU"/>
        </w:rPr>
      </w:pPr>
      <w:r w:rsidRPr="00202F85">
        <w:rPr>
          <w:sz w:val="20"/>
          <w:szCs w:val="20"/>
          <w:lang w:eastAsia="ru-RU"/>
        </w:rPr>
        <w:t xml:space="preserve">Отчет об исполнении бюджета </w:t>
      </w:r>
      <w:proofErr w:type="spellStart"/>
      <w:r w:rsidRPr="00202F85">
        <w:rPr>
          <w:sz w:val="20"/>
          <w:szCs w:val="20"/>
          <w:lang w:eastAsia="ru-RU"/>
        </w:rPr>
        <w:t>Мокроусовского</w:t>
      </w:r>
      <w:proofErr w:type="spellEnd"/>
      <w:r w:rsidRPr="00202F85">
        <w:rPr>
          <w:sz w:val="20"/>
          <w:szCs w:val="20"/>
          <w:lang w:eastAsia="ru-RU"/>
        </w:rPr>
        <w:t xml:space="preserve"> муниципального округа Курганской </w:t>
      </w:r>
    </w:p>
    <w:p w:rsidR="00202F85" w:rsidRPr="00202F85" w:rsidRDefault="00202F85" w:rsidP="00202F85">
      <w:pPr>
        <w:widowControl/>
        <w:autoSpaceDE/>
        <w:autoSpaceDN/>
        <w:jc w:val="center"/>
        <w:rPr>
          <w:sz w:val="20"/>
          <w:szCs w:val="20"/>
          <w:lang w:eastAsia="ru-RU"/>
        </w:rPr>
      </w:pPr>
      <w:r w:rsidRPr="00202F85">
        <w:rPr>
          <w:sz w:val="20"/>
          <w:szCs w:val="20"/>
          <w:lang w:eastAsia="ru-RU"/>
        </w:rPr>
        <w:t>за 1 квартал 2025 года</w:t>
      </w:r>
    </w:p>
    <w:p w:rsidR="00202F85" w:rsidRPr="00202F85" w:rsidRDefault="00202F85" w:rsidP="00202F85">
      <w:pPr>
        <w:widowControl/>
        <w:autoSpaceDE/>
        <w:autoSpaceDN/>
        <w:jc w:val="center"/>
        <w:rPr>
          <w:sz w:val="20"/>
          <w:szCs w:val="20"/>
          <w:lang w:eastAsia="ru-RU"/>
        </w:rPr>
      </w:pPr>
    </w:p>
    <w:p w:rsidR="00202F85" w:rsidRPr="00202F85" w:rsidRDefault="00202F85" w:rsidP="00202F85">
      <w:pPr>
        <w:widowControl/>
        <w:autoSpaceDE/>
        <w:autoSpaceDN/>
        <w:ind w:left="6492" w:firstLine="708"/>
        <w:jc w:val="center"/>
        <w:rPr>
          <w:sz w:val="20"/>
          <w:szCs w:val="20"/>
          <w:lang w:eastAsia="ru-RU"/>
        </w:rPr>
      </w:pPr>
      <w:r w:rsidRPr="00202F85">
        <w:rPr>
          <w:sz w:val="20"/>
          <w:szCs w:val="20"/>
          <w:lang w:eastAsia="ru-RU"/>
        </w:rPr>
        <w:t>ед. изм. (тыс. руб.)</w:t>
      </w:r>
    </w:p>
    <w:p w:rsidR="00202F85" w:rsidRPr="00202F85" w:rsidRDefault="00202F85" w:rsidP="00202F85">
      <w:pPr>
        <w:widowControl/>
        <w:autoSpaceDE/>
        <w:autoSpaceDN/>
        <w:jc w:val="center"/>
        <w:rPr>
          <w:sz w:val="20"/>
          <w:szCs w:val="20"/>
          <w:lang w:eastAsia="ru-RU"/>
        </w:rPr>
      </w:pPr>
      <w:r w:rsidRPr="00202F85">
        <w:rPr>
          <w:sz w:val="20"/>
          <w:szCs w:val="20"/>
          <w:lang w:eastAsia="ru-RU"/>
        </w:rPr>
        <w:fldChar w:fldCharType="begin"/>
      </w:r>
      <w:r w:rsidRPr="00202F85">
        <w:rPr>
          <w:sz w:val="20"/>
          <w:szCs w:val="20"/>
          <w:lang w:eastAsia="ru-RU"/>
        </w:rPr>
        <w:instrText xml:space="preserve"> LINK Excel.Sheet.8 "C:\\Users\\ASGas\\OneDrive\\Рабочий стол\\апрель\\от 18 апреля 2025 года №86\\отчет об исполнении бюджета за 1 квартал 2025  года.xls" район!R50C3:R172C7 \a \f 4 \h  \* MERGEFORMAT </w:instrText>
      </w:r>
      <w:r w:rsidRPr="00202F85">
        <w:rPr>
          <w:sz w:val="20"/>
          <w:szCs w:val="20"/>
          <w:lang w:eastAsia="ru-RU"/>
        </w:rPr>
        <w:fldChar w:fldCharType="separate"/>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144"/>
        <w:gridCol w:w="1167"/>
        <w:gridCol w:w="1291"/>
      </w:tblGrid>
      <w:tr w:rsidR="00202F85" w:rsidRPr="00202F85" w:rsidTr="00976CA7">
        <w:trPr>
          <w:trHeight w:val="255"/>
        </w:trPr>
        <w:tc>
          <w:tcPr>
            <w:tcW w:w="5440" w:type="dxa"/>
            <w:vMerge w:val="restart"/>
            <w:shd w:val="clear" w:color="auto" w:fill="auto"/>
            <w:noWrap/>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Наименование показателей</w:t>
            </w:r>
          </w:p>
        </w:tc>
        <w:tc>
          <w:tcPr>
            <w:tcW w:w="1144" w:type="dxa"/>
            <w:vMerge w:val="restart"/>
            <w:shd w:val="clear" w:color="auto" w:fill="auto"/>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назначено (</w:t>
            </w:r>
            <w:proofErr w:type="spellStart"/>
            <w:r w:rsidRPr="00202F85">
              <w:rPr>
                <w:b/>
                <w:bCs/>
                <w:sz w:val="20"/>
                <w:szCs w:val="20"/>
                <w:lang w:eastAsia="ru-RU"/>
              </w:rPr>
              <w:t>тыс.руб</w:t>
            </w:r>
            <w:proofErr w:type="spellEnd"/>
            <w:r w:rsidRPr="00202F85">
              <w:rPr>
                <w:b/>
                <w:bCs/>
                <w:sz w:val="20"/>
                <w:szCs w:val="20"/>
                <w:lang w:eastAsia="ru-RU"/>
              </w:rPr>
              <w:t>.)</w:t>
            </w:r>
          </w:p>
        </w:tc>
        <w:tc>
          <w:tcPr>
            <w:tcW w:w="1167" w:type="dxa"/>
            <w:vMerge w:val="restart"/>
            <w:shd w:val="clear" w:color="auto" w:fill="auto"/>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исполнено (</w:t>
            </w:r>
            <w:proofErr w:type="spellStart"/>
            <w:r w:rsidRPr="00202F85">
              <w:rPr>
                <w:b/>
                <w:bCs/>
                <w:sz w:val="20"/>
                <w:szCs w:val="20"/>
                <w:lang w:eastAsia="ru-RU"/>
              </w:rPr>
              <w:t>тыс.руб</w:t>
            </w:r>
            <w:proofErr w:type="spellEnd"/>
            <w:r w:rsidRPr="00202F85">
              <w:rPr>
                <w:b/>
                <w:bCs/>
                <w:sz w:val="20"/>
                <w:szCs w:val="20"/>
                <w:lang w:eastAsia="ru-RU"/>
              </w:rPr>
              <w:t>.)</w:t>
            </w:r>
          </w:p>
        </w:tc>
        <w:tc>
          <w:tcPr>
            <w:tcW w:w="1291" w:type="dxa"/>
            <w:vMerge w:val="restart"/>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 исполнения</w:t>
            </w:r>
          </w:p>
        </w:tc>
      </w:tr>
      <w:tr w:rsidR="00202F85" w:rsidRPr="00202F85" w:rsidTr="00976CA7">
        <w:trPr>
          <w:trHeight w:val="255"/>
        </w:trPr>
        <w:tc>
          <w:tcPr>
            <w:tcW w:w="5440" w:type="dxa"/>
            <w:vMerge/>
            <w:shd w:val="clear" w:color="auto" w:fill="auto"/>
            <w:vAlign w:val="center"/>
            <w:hideMark/>
          </w:tcPr>
          <w:p w:rsidR="00202F85" w:rsidRPr="00202F85" w:rsidRDefault="00202F85" w:rsidP="00202F85">
            <w:pPr>
              <w:widowControl/>
              <w:autoSpaceDE/>
              <w:autoSpaceDN/>
              <w:rPr>
                <w:sz w:val="20"/>
                <w:szCs w:val="20"/>
                <w:lang w:eastAsia="ru-RU"/>
              </w:rPr>
            </w:pPr>
          </w:p>
        </w:tc>
        <w:tc>
          <w:tcPr>
            <w:tcW w:w="1144" w:type="dxa"/>
            <w:vMerge/>
            <w:shd w:val="clear" w:color="auto" w:fill="auto"/>
            <w:vAlign w:val="center"/>
            <w:hideMark/>
          </w:tcPr>
          <w:p w:rsidR="00202F85" w:rsidRPr="00202F85" w:rsidRDefault="00202F85" w:rsidP="00202F85">
            <w:pPr>
              <w:widowControl/>
              <w:autoSpaceDE/>
              <w:autoSpaceDN/>
              <w:jc w:val="center"/>
              <w:rPr>
                <w:b/>
                <w:bCs/>
                <w:sz w:val="20"/>
                <w:szCs w:val="20"/>
                <w:lang w:eastAsia="ru-RU"/>
              </w:rPr>
            </w:pPr>
          </w:p>
        </w:tc>
        <w:tc>
          <w:tcPr>
            <w:tcW w:w="1167" w:type="dxa"/>
            <w:vMerge/>
            <w:shd w:val="clear" w:color="auto" w:fill="auto"/>
            <w:vAlign w:val="center"/>
            <w:hideMark/>
          </w:tcPr>
          <w:p w:rsidR="00202F85" w:rsidRPr="00202F85" w:rsidRDefault="00202F85" w:rsidP="00202F85">
            <w:pPr>
              <w:widowControl/>
              <w:autoSpaceDE/>
              <w:autoSpaceDN/>
              <w:jc w:val="center"/>
              <w:rPr>
                <w:b/>
                <w:bCs/>
                <w:sz w:val="20"/>
                <w:szCs w:val="20"/>
                <w:lang w:eastAsia="ru-RU"/>
              </w:rPr>
            </w:pPr>
          </w:p>
        </w:tc>
        <w:tc>
          <w:tcPr>
            <w:tcW w:w="1291" w:type="dxa"/>
            <w:vMerge/>
            <w:shd w:val="clear" w:color="auto" w:fill="auto"/>
            <w:vAlign w:val="center"/>
            <w:hideMark/>
          </w:tcPr>
          <w:p w:rsidR="00202F85" w:rsidRPr="00202F85" w:rsidRDefault="00202F85" w:rsidP="00202F85">
            <w:pPr>
              <w:widowControl/>
              <w:autoSpaceDE/>
              <w:autoSpaceDN/>
              <w:jc w:val="center"/>
              <w:rPr>
                <w:b/>
                <w:bCs/>
                <w:sz w:val="20"/>
                <w:szCs w:val="20"/>
                <w:lang w:eastAsia="ru-RU"/>
              </w:rPr>
            </w:pPr>
          </w:p>
        </w:tc>
      </w:tr>
      <w:tr w:rsidR="00202F85" w:rsidRPr="00202F85" w:rsidTr="00976CA7">
        <w:trPr>
          <w:trHeight w:val="270"/>
        </w:trPr>
        <w:tc>
          <w:tcPr>
            <w:tcW w:w="5440"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5,0</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b/>
                <w:bCs/>
                <w:i/>
                <w:iCs/>
                <w:sz w:val="20"/>
                <w:szCs w:val="20"/>
                <w:lang w:eastAsia="ru-RU"/>
              </w:rPr>
            </w:pPr>
            <w:r w:rsidRPr="00202F85">
              <w:rPr>
                <w:b/>
                <w:bCs/>
                <w:i/>
                <w:iCs/>
                <w:sz w:val="20"/>
                <w:szCs w:val="20"/>
                <w:lang w:eastAsia="ru-RU"/>
              </w:rPr>
              <w:t xml:space="preserve">                                ДОХОДЫ </w:t>
            </w:r>
            <w:r w:rsidRPr="00202F85">
              <w:rPr>
                <w:b/>
                <w:bCs/>
                <w:sz w:val="20"/>
                <w:szCs w:val="20"/>
                <w:u w:val="single"/>
                <w:lang w:eastAsia="ru-RU"/>
              </w:rPr>
              <w:t xml:space="preserve">  </w:t>
            </w:r>
            <w:r w:rsidRPr="00202F85">
              <w:rPr>
                <w:b/>
                <w:bCs/>
                <w:i/>
                <w:iCs/>
                <w:sz w:val="20"/>
                <w:szCs w:val="20"/>
                <w:lang w:eastAsia="ru-RU"/>
              </w:rPr>
              <w:t xml:space="preserve"> налоговые и не налоговые        </w:t>
            </w:r>
            <w:r w:rsidRPr="00202F85">
              <w:rPr>
                <w:b/>
                <w:bCs/>
                <w:sz w:val="20"/>
                <w:szCs w:val="20"/>
                <w:lang w:eastAsia="ru-RU"/>
              </w:rPr>
              <w:t xml:space="preserve">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90 766,0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22 364,7</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24,6</w:t>
            </w:r>
          </w:p>
        </w:tc>
      </w:tr>
      <w:tr w:rsidR="00202F85" w:rsidRPr="00202F85" w:rsidTr="00976CA7">
        <w:trPr>
          <w:trHeight w:val="27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НАЛОГИ НА ПРИБЫЛЬ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48 400,0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8 583,1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17,7</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                                  в том числе:                                                                                              </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Налог на доходы физических лиц</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48 400,0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8 583,1</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17,7</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НАЛОГИ НА ТОВАРЫ (РАБОТЫ, УСЛУГИ), РЕАЛИЗУЕМЫЕ НА ТЕРРИТОРИИ РОССИЙСКОЙ ФЕДЕРАЦИИ</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10 359,0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2 488,9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24,0</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Акцизы по подакцизным товарам (продукции), производимым на территории Российской Федерации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10 359,0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2 488,9</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24,0</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НАЛОГИ НА СОВОКУПНЫЙ ДОХОД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6 800,0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3 390,0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49,9</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       в том числе:</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Единый налог на вмененный доход для отдельных видов деятельности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0,1</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Единый сельскохозяйственный налог </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5 000,0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2 416,9</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48,3</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Налог, взимаемый в связи с применением патентной системы налогообложения</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1 800,0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973,0</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54,1</w:t>
            </w:r>
          </w:p>
        </w:tc>
      </w:tr>
      <w:tr w:rsidR="00202F85" w:rsidRPr="00202F85" w:rsidTr="00976CA7">
        <w:trPr>
          <w:trHeight w:val="27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НАЛОГИ НА ИМУЩЕСТВО</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8 000,0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631,9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7,9</w:t>
            </w:r>
          </w:p>
        </w:tc>
      </w:tr>
      <w:tr w:rsidR="00202F85" w:rsidRPr="00202F85" w:rsidTr="00976CA7">
        <w:trPr>
          <w:trHeight w:val="27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Налог на имущество физических лиц</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1 300,0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154,0</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11,8</w:t>
            </w:r>
          </w:p>
        </w:tc>
      </w:tr>
      <w:tr w:rsidR="00202F85" w:rsidRPr="00202F85" w:rsidTr="00976CA7">
        <w:trPr>
          <w:trHeight w:val="27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Земельный налог</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6 700,0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477,9</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7,1</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ГОСУДАРСТВЕННАЯ  ПОШЛИНА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2 100,0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1 911,0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91,0</w:t>
            </w:r>
          </w:p>
        </w:tc>
      </w:tr>
      <w:tr w:rsidR="00202F85" w:rsidRPr="00202F85" w:rsidTr="00976CA7">
        <w:trPr>
          <w:trHeight w:val="810"/>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 в том числе:                                                                                         Государственная пошлина по делам, рассматриваемым в судах общей юрисдикции, мировыми судьями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2 100,0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1 911,0</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91,0</w:t>
            </w:r>
          </w:p>
        </w:tc>
      </w:tr>
      <w:tr w:rsidR="00202F85" w:rsidRPr="00202F85" w:rsidTr="00976CA7">
        <w:trPr>
          <w:trHeight w:val="51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7 900,0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1 953,9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24,7</w:t>
            </w:r>
          </w:p>
        </w:tc>
      </w:tr>
      <w:tr w:rsidR="00202F85" w:rsidRPr="00202F85" w:rsidTr="00976CA7">
        <w:trPr>
          <w:trHeight w:val="928"/>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6 500,0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390,0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6,0</w:t>
            </w:r>
          </w:p>
        </w:tc>
      </w:tr>
      <w:tr w:rsidR="00202F85" w:rsidRPr="00202F85" w:rsidTr="00976CA7">
        <w:trPr>
          <w:trHeight w:val="828"/>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1 235,0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1 483,8</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120,1</w:t>
            </w:r>
          </w:p>
        </w:tc>
      </w:tr>
      <w:tr w:rsidR="00202F85" w:rsidRPr="00202F85" w:rsidTr="00976CA7">
        <w:trPr>
          <w:trHeight w:val="84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165,0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42,0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25,5</w:t>
            </w:r>
          </w:p>
        </w:tc>
      </w:tr>
      <w:tr w:rsidR="00202F85" w:rsidRPr="00202F85" w:rsidTr="00976CA7">
        <w:trPr>
          <w:trHeight w:val="84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38,1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255"/>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ПЛАТЕЖИ ПРИ ПОЛЬЗОВАНИИ ПРИРОДНЫМИ РЕСУРСАМИ</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112,9</w:t>
            </w:r>
          </w:p>
        </w:tc>
      </w:tr>
      <w:tr w:rsidR="00202F85" w:rsidRPr="00202F85" w:rsidTr="00976CA7">
        <w:trPr>
          <w:trHeight w:val="51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Плата за выбросы загрязняющих веществ в атмосферный воздух стационарными объектами 7</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4,3</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71,7</w:t>
            </w:r>
          </w:p>
        </w:tc>
      </w:tr>
      <w:tr w:rsidR="00202F85" w:rsidRPr="00202F85" w:rsidTr="00976CA7">
        <w:trPr>
          <w:trHeight w:val="25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 Плата за размещение отходов производства и потребления</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3,6</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360,0</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ДОХОДЫ ОТ ОКАЗАНИЯ ПЛАТНЫХ УСЛУГ И КОМПЕНСАЦИИ ЗАТРАТ ГОСУДАРСТВА</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4 200,0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1 346,2</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32,1</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ДОХОДЫ ОТ ПРОДАЖИ МАТЕРИАЛЬНЫХ И НЕМАТЕРИАЛЬНЫХ АКТИВОВ</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2 500,0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1 652,5</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66,1</w:t>
            </w:r>
          </w:p>
        </w:tc>
      </w:tr>
      <w:tr w:rsidR="00202F85" w:rsidRPr="00202F85" w:rsidTr="00976CA7">
        <w:trPr>
          <w:trHeight w:val="1094"/>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282,2</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56,4</w:t>
            </w:r>
          </w:p>
        </w:tc>
      </w:tr>
      <w:tr w:rsidR="00202F85" w:rsidRPr="00202F85" w:rsidTr="00976CA7">
        <w:trPr>
          <w:trHeight w:val="699"/>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округов</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2 000,0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1 370,3</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68,5</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ШТРАФНЫЕ САНКЦИИ, ВОЗМЕЩЕНИЕ УЩЕРБА</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500,0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397,3</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79,5</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ПРОЧИЕ НЕНАЛОГОВЫЕ ДОХОДЫ</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в т.ч. невыясненные поступления </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БЕЗВОЗМЕЗДНЫЕ ПОСТУПЛЕНИЯ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533 259,3</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172 422,2</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32,3</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БЕЗВОЗМЕЗДНЫЕ ПОСТУПЛЕНИЯ ОТ ДРУГИХ БЮДЖЕТОВ БЮДЖЕТНОЙ СИСТЕМЫ РОССИЙСКОЙ ФЕДЕРАЦИИ</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532 409,3</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172 120,5</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32,3</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Дотации бюджетам муниципальных округов</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261 803,0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89 404,9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34,1</w:t>
            </w:r>
          </w:p>
        </w:tc>
      </w:tr>
      <w:tr w:rsidR="00202F85" w:rsidRPr="00202F85" w:rsidTr="00976CA7">
        <w:trPr>
          <w:trHeight w:val="36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Дотация на выравнивание уровня бюджетной обеспеченности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261 803,0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89 404,9</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34,1</w:t>
            </w:r>
          </w:p>
        </w:tc>
      </w:tr>
      <w:tr w:rsidR="00202F85" w:rsidRPr="00202F85" w:rsidTr="00976CA7">
        <w:trPr>
          <w:trHeight w:val="375"/>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Субсидии бюджетам муниципальных округов</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76 527,2</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28 539,8</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37,3</w:t>
            </w:r>
          </w:p>
        </w:tc>
      </w:tr>
      <w:tr w:rsidR="00202F85" w:rsidRPr="00202F85" w:rsidTr="00976CA7">
        <w:trPr>
          <w:trHeight w:val="57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Субсидии бюджетам муниципальных округов на </w:t>
            </w:r>
            <w:proofErr w:type="spellStart"/>
            <w:r w:rsidRPr="00202F85">
              <w:rPr>
                <w:sz w:val="20"/>
                <w:szCs w:val="20"/>
                <w:lang w:eastAsia="ru-RU"/>
              </w:rPr>
              <w:t>софинансирование</w:t>
            </w:r>
            <w:proofErr w:type="spellEnd"/>
            <w:r w:rsidRPr="00202F85">
              <w:rPr>
                <w:sz w:val="20"/>
                <w:szCs w:val="20"/>
                <w:lang w:eastAsia="ru-RU"/>
              </w:rPr>
              <w:t xml:space="preserve"> капитальных вложений в объекты муниципальной собственности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1 000,0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81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33 276,2</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26 811,5</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80,6</w:t>
            </w:r>
          </w:p>
        </w:tc>
      </w:tr>
      <w:tr w:rsidR="00202F85" w:rsidRPr="00202F85" w:rsidTr="00976CA7">
        <w:trPr>
          <w:trHeight w:val="75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5 796,3</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665,2</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11,5</w:t>
            </w:r>
          </w:p>
        </w:tc>
      </w:tr>
      <w:tr w:rsidR="00202F85" w:rsidRPr="00202F85" w:rsidTr="00976CA7">
        <w:trPr>
          <w:trHeight w:val="57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800,0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57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Субсидии бюджетам муниципальных округов на реализацию мероприятий по обеспечению жильем молодых семей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2 241,5</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27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Субсидии бюджетам на поддержку отрасли культуры</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165,0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55,0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33,3</w:t>
            </w:r>
          </w:p>
        </w:tc>
      </w:tr>
      <w:tr w:rsidR="00202F85" w:rsidRPr="00202F85" w:rsidTr="00976CA7">
        <w:trPr>
          <w:trHeight w:val="27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Субсидии бюджетам муниципальных округов на реализацию программ формирования современной городской среды</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1 000,0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27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Субсидии бюджетам муниципальных округов на подготовку проектов межевания земельных участков и на проведение кадастровых работ</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1 554,1</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300"/>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lastRenderedPageBreak/>
              <w:t>Прочие субсидии бюджетам муниципальных образований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30 694,1</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1 008,1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3,3</w:t>
            </w:r>
          </w:p>
        </w:tc>
      </w:tr>
      <w:tr w:rsidR="00202F85" w:rsidRPr="00202F85" w:rsidTr="00976CA7">
        <w:trPr>
          <w:trHeight w:val="270"/>
        </w:trPr>
        <w:tc>
          <w:tcPr>
            <w:tcW w:w="5440" w:type="dxa"/>
            <w:shd w:val="clear" w:color="auto" w:fill="auto"/>
            <w:vAlign w:val="bottom"/>
            <w:hideMark/>
          </w:tcPr>
          <w:p w:rsidR="00202F85" w:rsidRPr="00202F85" w:rsidRDefault="00202F85" w:rsidP="00202F85">
            <w:pPr>
              <w:widowControl/>
              <w:autoSpaceDE/>
              <w:autoSpaceDN/>
              <w:rPr>
                <w:b/>
                <w:bCs/>
                <w:color w:val="000000"/>
                <w:sz w:val="20"/>
                <w:szCs w:val="20"/>
                <w:lang w:eastAsia="ru-RU"/>
              </w:rPr>
            </w:pPr>
            <w:r w:rsidRPr="00202F85">
              <w:rPr>
                <w:b/>
                <w:bCs/>
                <w:color w:val="000000"/>
                <w:sz w:val="20"/>
                <w:szCs w:val="20"/>
                <w:lang w:eastAsia="ru-RU"/>
              </w:rPr>
              <w:t>Субвенции бюджетам  муниципальных округов</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169 391,3</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46 126,9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27,2</w:t>
            </w:r>
          </w:p>
        </w:tc>
      </w:tr>
      <w:tr w:rsidR="00202F85" w:rsidRPr="00202F85" w:rsidTr="00976CA7">
        <w:trPr>
          <w:trHeight w:val="555"/>
        </w:trPr>
        <w:tc>
          <w:tcPr>
            <w:tcW w:w="5440" w:type="dxa"/>
            <w:shd w:val="clear" w:color="auto" w:fill="auto"/>
            <w:vAlign w:val="bottom"/>
            <w:hideMark/>
          </w:tcPr>
          <w:p w:rsidR="00202F85" w:rsidRPr="00202F85" w:rsidRDefault="00202F85" w:rsidP="00202F85">
            <w:pPr>
              <w:widowControl/>
              <w:autoSpaceDE/>
              <w:autoSpaceDN/>
              <w:rPr>
                <w:color w:val="000000"/>
                <w:sz w:val="20"/>
                <w:szCs w:val="20"/>
                <w:lang w:eastAsia="ru-RU"/>
              </w:rPr>
            </w:pPr>
            <w:r w:rsidRPr="00202F85">
              <w:rPr>
                <w:color w:val="000000"/>
                <w:sz w:val="20"/>
                <w:szCs w:val="20"/>
                <w:lang w:eastAsia="ru-RU"/>
              </w:rPr>
              <w:t>Субвенции  бюджетам муниципальных округов на выполнение передаваемых полномочий субъектов Российской Федерации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25 658,0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5 562,3</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21,7</w:t>
            </w:r>
          </w:p>
        </w:tc>
      </w:tr>
      <w:tr w:rsidR="00202F85" w:rsidRPr="00202F85" w:rsidTr="00976CA7">
        <w:trPr>
          <w:trHeight w:val="55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946,0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192,9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20,4</w:t>
            </w:r>
          </w:p>
        </w:tc>
      </w:tr>
      <w:tr w:rsidR="00202F85" w:rsidRPr="00202F85" w:rsidTr="00976CA7">
        <w:trPr>
          <w:trHeight w:val="55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0,9</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55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Субвенции бюджетам муниципальных округов на государственную регистрацию актов гражданского состояния</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1 680,0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300,0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17,9</w:t>
            </w:r>
          </w:p>
        </w:tc>
      </w:tr>
      <w:tr w:rsidR="00202F85" w:rsidRPr="00202F85" w:rsidTr="00976CA7">
        <w:trPr>
          <w:trHeight w:val="27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Прочие субвенции бюджетам муниципальных образований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141 106,4</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40 071,7</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28,4</w:t>
            </w:r>
          </w:p>
        </w:tc>
      </w:tr>
      <w:tr w:rsidR="00202F85" w:rsidRPr="00202F85" w:rsidTr="00976CA7">
        <w:trPr>
          <w:trHeight w:val="36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Иные межбюджетные трансферты</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24 687,8</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8 048,9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32,6</w:t>
            </w:r>
          </w:p>
        </w:tc>
      </w:tr>
      <w:tr w:rsidR="00202F85" w:rsidRPr="00202F85" w:rsidTr="00976CA7">
        <w:trPr>
          <w:trHeight w:val="36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179,7</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29,9</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16,6</w:t>
            </w:r>
          </w:p>
        </w:tc>
      </w:tr>
      <w:tr w:rsidR="00202F85" w:rsidRPr="00202F85" w:rsidTr="00976CA7">
        <w:trPr>
          <w:trHeight w:val="36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378,4</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74,6</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19,7</w:t>
            </w:r>
          </w:p>
        </w:tc>
      </w:tr>
      <w:tr w:rsidR="00202F85" w:rsidRPr="00202F85" w:rsidTr="00976CA7">
        <w:trPr>
          <w:trHeight w:val="108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17 787,9</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2 944,4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16,6</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Прочие межбюджетные трансферты, передаваемые бюджетам муниципальных округов</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6 341,8</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5 000,0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78,8</w:t>
            </w:r>
          </w:p>
        </w:tc>
      </w:tr>
      <w:tr w:rsidR="00202F85" w:rsidRPr="00202F85" w:rsidTr="00976CA7">
        <w:trPr>
          <w:trHeight w:val="39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ПРОЧИЕ БЕЗВОЗМЕЗДНЫЕ ПОСТУПЛЕНИЯ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850,0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301,7</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35,5</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ВСЕГО  ДОХОДОВ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624 025,3</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bookmarkStart w:id="4" w:name="_Hlk195691113"/>
            <w:r w:rsidRPr="00202F85">
              <w:rPr>
                <w:b/>
                <w:bCs/>
                <w:sz w:val="20"/>
                <w:szCs w:val="20"/>
                <w:lang w:eastAsia="ru-RU"/>
              </w:rPr>
              <w:t>194 786,9</w:t>
            </w:r>
            <w:bookmarkEnd w:id="4"/>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31,2</w:t>
            </w:r>
          </w:p>
        </w:tc>
      </w:tr>
      <w:tr w:rsidR="00202F85" w:rsidRPr="00202F85" w:rsidTr="00976CA7">
        <w:trPr>
          <w:trHeight w:val="330"/>
        </w:trPr>
        <w:tc>
          <w:tcPr>
            <w:tcW w:w="5440" w:type="dxa"/>
            <w:shd w:val="clear" w:color="auto" w:fill="auto"/>
            <w:noWrap/>
            <w:hideMark/>
          </w:tcPr>
          <w:p w:rsidR="00202F85" w:rsidRPr="00202F85" w:rsidRDefault="00202F85" w:rsidP="00202F85">
            <w:pPr>
              <w:widowControl/>
              <w:autoSpaceDE/>
              <w:autoSpaceDN/>
              <w:rPr>
                <w:b/>
                <w:bCs/>
                <w:i/>
                <w:iCs/>
                <w:sz w:val="20"/>
                <w:szCs w:val="20"/>
                <w:lang w:eastAsia="ru-RU"/>
              </w:rPr>
            </w:pPr>
            <w:r w:rsidRPr="00202F85">
              <w:rPr>
                <w:b/>
                <w:bCs/>
                <w:i/>
                <w:iCs/>
                <w:sz w:val="20"/>
                <w:szCs w:val="20"/>
                <w:lang w:eastAsia="ru-RU"/>
              </w:rPr>
              <w:t xml:space="preserve">                         РАСХОДЫ</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ОБЩЕГОСУДАРСТВЕННЫЕ ВОПРОСЫ</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70 151,2</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15 312,2</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21,8</w:t>
            </w:r>
          </w:p>
        </w:tc>
      </w:tr>
      <w:tr w:rsidR="00202F85" w:rsidRPr="00202F85" w:rsidTr="00976CA7">
        <w:trPr>
          <w:trHeight w:val="315"/>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Функционирование высшего должностного лица муниципального образования</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1 406,0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282,0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20,1</w:t>
            </w:r>
          </w:p>
        </w:tc>
      </w:tr>
      <w:tr w:rsidR="00202F85" w:rsidRPr="00202F85" w:rsidTr="00976CA7">
        <w:trPr>
          <w:trHeight w:val="315"/>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Функционирование представительных  органов муниципальных образований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1 017,0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138,0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13,6</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Функционирование  местной администрации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32 602,0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7 872,7</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24,1</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Судебная система</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0,9</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Обеспечение деятельности  финансовых органов</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12 272,0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2 366,3</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19,3</w:t>
            </w:r>
          </w:p>
        </w:tc>
      </w:tr>
      <w:tr w:rsidR="00202F85" w:rsidRPr="00202F85" w:rsidTr="00976CA7">
        <w:trPr>
          <w:trHeight w:val="225"/>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Резервные фонды</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200,0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Другие общегосударственные вопросы</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22 653,3</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4 653,2</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20,5</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Национальная оборона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946,0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192,9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20,4</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Мобилизационная и вневойсковая подготовка </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946,0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192,9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20,4</w:t>
            </w:r>
          </w:p>
        </w:tc>
      </w:tr>
      <w:tr w:rsidR="00202F85" w:rsidRPr="00202F85" w:rsidTr="00976CA7">
        <w:trPr>
          <w:trHeight w:val="54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НАЦИОНАЛЬНАЯ БЕЗОПАСНОСТЬ И ПРАВООХРАНИТЕЛЬНАЯ ДЕЯТЕЛЬНОСТЬ</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32 135,9</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8 438,4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26,3</w:t>
            </w:r>
          </w:p>
        </w:tc>
      </w:tr>
      <w:tr w:rsidR="00202F85" w:rsidRPr="00202F85" w:rsidTr="00976CA7">
        <w:trPr>
          <w:trHeight w:val="22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Обеспечение пожарной безопасности </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32 135,9</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8 438,4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26,3</w:t>
            </w:r>
          </w:p>
        </w:tc>
      </w:tr>
      <w:tr w:rsidR="00202F85" w:rsidRPr="00202F85" w:rsidTr="00976CA7">
        <w:trPr>
          <w:trHeight w:val="270"/>
        </w:trPr>
        <w:tc>
          <w:tcPr>
            <w:tcW w:w="5440" w:type="dxa"/>
            <w:shd w:val="clear" w:color="auto" w:fill="auto"/>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НАЦИОНАЛЬНАЯ ЭКОНОМИКА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48 682,7</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29 023,9</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59,6</w:t>
            </w:r>
          </w:p>
        </w:tc>
      </w:tr>
      <w:tr w:rsidR="00202F85" w:rsidRPr="00202F85" w:rsidTr="00976CA7">
        <w:trPr>
          <w:trHeight w:val="31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 xml:space="preserve">Общеэкономические вопросы </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1 916,8</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c>
          <w:tcPr>
            <w:tcW w:w="1291"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0,0</w:t>
            </w:r>
          </w:p>
        </w:tc>
      </w:tr>
      <w:tr w:rsidR="00202F85" w:rsidRPr="00202F85" w:rsidTr="00976CA7">
        <w:trPr>
          <w:trHeight w:val="28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lastRenderedPageBreak/>
              <w:t>Сельское хозяйство и рыболовство</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1 689,7</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84,0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5,0</w:t>
            </w:r>
          </w:p>
        </w:tc>
      </w:tr>
      <w:tr w:rsidR="00202F85" w:rsidRPr="00202F85" w:rsidTr="00976CA7">
        <w:trPr>
          <w:trHeight w:val="28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Дорожное хозяйство (дорожные фонды)</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43 635,2</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28 662,1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65,7</w:t>
            </w:r>
          </w:p>
        </w:tc>
      </w:tr>
      <w:tr w:rsidR="00202F85" w:rsidRPr="00202F85" w:rsidTr="00976CA7">
        <w:trPr>
          <w:trHeight w:val="27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Другие  вопросы в области национальной экономики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1 441,0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277,8</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19,3</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ЖИЛИЩНО-КОММУНАЛЬН0Е ХОЗЯЙСТВО</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42 059,3</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9 271,6</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22,0</w:t>
            </w:r>
          </w:p>
        </w:tc>
      </w:tr>
      <w:tr w:rsidR="00202F85" w:rsidRPr="00202F85" w:rsidTr="00976CA7">
        <w:trPr>
          <w:trHeight w:val="30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Жилищное хозяйство</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141,0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30,4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21,6</w:t>
            </w:r>
          </w:p>
        </w:tc>
      </w:tr>
      <w:tr w:rsidR="00202F85" w:rsidRPr="00202F85" w:rsidTr="00976CA7">
        <w:trPr>
          <w:trHeight w:val="315"/>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Коммунальное хозяйство</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1 060,0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13,6</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1,3</w:t>
            </w:r>
          </w:p>
        </w:tc>
      </w:tr>
      <w:tr w:rsidR="00202F85" w:rsidRPr="00202F85" w:rsidTr="00976CA7">
        <w:trPr>
          <w:trHeight w:val="345"/>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Благоустройство</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17 374,3</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2 552,4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14,7</w:t>
            </w:r>
          </w:p>
        </w:tc>
      </w:tr>
      <w:tr w:rsidR="00202F85" w:rsidRPr="00202F85" w:rsidTr="00976CA7">
        <w:trPr>
          <w:trHeight w:val="315"/>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Другие вопросы в области жилищно-коммунального хозяйства</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23 484,0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6 675,2</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28,4</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ОБРАЗОВАНИЕ</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314 740,6</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81 351,4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25,8</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Дошкольное образование</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55 494,6</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14 050,1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25,3</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Общее образование</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225 731,9</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60 371,1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26,7</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Дополнительное образование детей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21 685,0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4 940,3</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22,8</w:t>
            </w:r>
          </w:p>
        </w:tc>
      </w:tr>
      <w:tr w:rsidR="00202F85" w:rsidRPr="00202F85" w:rsidTr="00976CA7">
        <w:trPr>
          <w:trHeight w:val="300"/>
        </w:trPr>
        <w:tc>
          <w:tcPr>
            <w:tcW w:w="5440" w:type="dxa"/>
            <w:shd w:val="clear" w:color="auto" w:fill="auto"/>
            <w:hideMark/>
          </w:tcPr>
          <w:p w:rsidR="00202F85" w:rsidRPr="00202F85" w:rsidRDefault="00202F85" w:rsidP="00202F85">
            <w:pPr>
              <w:widowControl/>
              <w:autoSpaceDE/>
              <w:autoSpaceDN/>
              <w:rPr>
                <w:sz w:val="20"/>
                <w:szCs w:val="20"/>
                <w:lang w:eastAsia="ru-RU"/>
              </w:rPr>
            </w:pPr>
            <w:r w:rsidRPr="00202F85">
              <w:rPr>
                <w:sz w:val="20"/>
                <w:szCs w:val="20"/>
                <w:lang w:eastAsia="ru-RU"/>
              </w:rPr>
              <w:t>Профессиональная подготовка, переподготовка и повышение квалификации</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250,0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37,0</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14,8</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Молодежная политика и оздоровление детей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440,0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37,1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8,4</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Другие вопросы в области образования</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11 139,1</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1 915,8</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17,2</w:t>
            </w:r>
          </w:p>
        </w:tc>
      </w:tr>
      <w:tr w:rsidR="00202F85" w:rsidRPr="00202F85" w:rsidTr="00976CA7">
        <w:trPr>
          <w:trHeight w:val="315"/>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КУЛЬТУРА,  КИНЕМАТОГРАФИЯ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87 132,0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18 465,5</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21,2</w:t>
            </w:r>
          </w:p>
        </w:tc>
      </w:tr>
      <w:tr w:rsidR="00202F85" w:rsidRPr="00202F85" w:rsidTr="00976CA7">
        <w:trPr>
          <w:trHeight w:val="315"/>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Культура</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69 002,0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14 207,7</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20,6</w:t>
            </w:r>
          </w:p>
        </w:tc>
      </w:tr>
      <w:tr w:rsidR="00202F85" w:rsidRPr="00202F85" w:rsidTr="00976CA7">
        <w:trPr>
          <w:trHeight w:val="30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Другие вопросы в области культуры</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18 130,0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4 257,8</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23,5</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СОЦИАЛЬНАЯ ПОЛИТИКА</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25 994,6</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9 482,8</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36,5</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Социальное обеспечение населения</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7 660,0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6 301,4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82,3</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Охрана семьи и детства</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18 334,6</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3 181,4</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17,4</w:t>
            </w:r>
          </w:p>
        </w:tc>
      </w:tr>
      <w:tr w:rsidR="00202F85" w:rsidRPr="00202F85" w:rsidTr="00976CA7">
        <w:trPr>
          <w:trHeight w:val="270"/>
        </w:trPr>
        <w:tc>
          <w:tcPr>
            <w:tcW w:w="5440" w:type="dxa"/>
            <w:shd w:val="clear" w:color="auto" w:fill="auto"/>
            <w:noWrap/>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ФИЗИЧЕСКАЯ КУЛЬТУРА И СПОРТ</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2 183,0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376,7</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17,3</w:t>
            </w:r>
          </w:p>
        </w:tc>
      </w:tr>
      <w:tr w:rsidR="00202F85" w:rsidRPr="00202F85" w:rsidTr="00976CA7">
        <w:trPr>
          <w:trHeight w:val="30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Физическая культура и спорт</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555,0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131,1</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23,6</w:t>
            </w:r>
          </w:p>
        </w:tc>
      </w:tr>
      <w:tr w:rsidR="00202F85" w:rsidRPr="00202F85" w:rsidTr="00976CA7">
        <w:trPr>
          <w:trHeight w:val="300"/>
        </w:trPr>
        <w:tc>
          <w:tcPr>
            <w:tcW w:w="5440" w:type="dxa"/>
            <w:shd w:val="clear" w:color="auto" w:fill="auto"/>
            <w:noWrap/>
            <w:hideMark/>
          </w:tcPr>
          <w:p w:rsidR="00202F85" w:rsidRPr="00202F85" w:rsidRDefault="00202F85" w:rsidP="00202F85">
            <w:pPr>
              <w:widowControl/>
              <w:autoSpaceDE/>
              <w:autoSpaceDN/>
              <w:rPr>
                <w:sz w:val="20"/>
                <w:szCs w:val="20"/>
                <w:lang w:eastAsia="ru-RU"/>
              </w:rPr>
            </w:pPr>
            <w:r w:rsidRPr="00202F85">
              <w:rPr>
                <w:sz w:val="20"/>
                <w:szCs w:val="20"/>
                <w:lang w:eastAsia="ru-RU"/>
              </w:rPr>
              <w:t>Развитие дополнительного образования и воспитания детей</w:t>
            </w:r>
          </w:p>
        </w:tc>
        <w:tc>
          <w:tcPr>
            <w:tcW w:w="1144"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1 628,0</w:t>
            </w:r>
          </w:p>
        </w:tc>
        <w:tc>
          <w:tcPr>
            <w:tcW w:w="1167" w:type="dxa"/>
            <w:shd w:val="clear" w:color="auto" w:fill="auto"/>
            <w:noWrap/>
            <w:vAlign w:val="center"/>
            <w:hideMark/>
          </w:tcPr>
          <w:p w:rsidR="00202F85" w:rsidRPr="00202F85" w:rsidRDefault="00202F85" w:rsidP="00202F85">
            <w:pPr>
              <w:widowControl/>
              <w:autoSpaceDE/>
              <w:autoSpaceDN/>
              <w:jc w:val="center"/>
              <w:rPr>
                <w:sz w:val="20"/>
                <w:szCs w:val="20"/>
                <w:lang w:eastAsia="ru-RU"/>
              </w:rPr>
            </w:pPr>
            <w:r w:rsidRPr="00202F85">
              <w:rPr>
                <w:sz w:val="20"/>
                <w:szCs w:val="20"/>
                <w:lang w:eastAsia="ru-RU"/>
              </w:rPr>
              <w:t>245,6</w:t>
            </w:r>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15,1</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 xml:space="preserve">ВСЕГО РАСХОДОВ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624 025,3</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bookmarkStart w:id="5" w:name="_Hlk195691139"/>
            <w:r w:rsidRPr="00202F85">
              <w:rPr>
                <w:b/>
                <w:bCs/>
                <w:sz w:val="20"/>
                <w:szCs w:val="20"/>
                <w:lang w:eastAsia="ru-RU"/>
              </w:rPr>
              <w:t>171 915,4</w:t>
            </w:r>
            <w:bookmarkEnd w:id="5"/>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27,5</w:t>
            </w:r>
          </w:p>
        </w:tc>
      </w:tr>
      <w:tr w:rsidR="00202F85" w:rsidRPr="00202F85" w:rsidTr="00976CA7">
        <w:trPr>
          <w:trHeight w:val="270"/>
        </w:trPr>
        <w:tc>
          <w:tcPr>
            <w:tcW w:w="5440" w:type="dxa"/>
            <w:shd w:val="clear" w:color="auto" w:fill="auto"/>
            <w:noWrap/>
            <w:vAlign w:val="bottom"/>
            <w:hideMark/>
          </w:tcPr>
          <w:p w:rsidR="00202F85" w:rsidRPr="00202F85" w:rsidRDefault="00202F85" w:rsidP="00202F85">
            <w:pPr>
              <w:widowControl/>
              <w:autoSpaceDE/>
              <w:autoSpaceDN/>
              <w:rPr>
                <w:b/>
                <w:bCs/>
                <w:sz w:val="20"/>
                <w:szCs w:val="20"/>
                <w:lang w:eastAsia="ru-RU"/>
              </w:rPr>
            </w:pPr>
            <w:r w:rsidRPr="00202F85">
              <w:rPr>
                <w:b/>
                <w:bCs/>
                <w:sz w:val="20"/>
                <w:szCs w:val="20"/>
                <w:lang w:eastAsia="ru-RU"/>
              </w:rPr>
              <w:t>ПРЕВЫШЕНИЕ  ДОХОДОВ  НАД РАСХОДАМИ (ДЕФИЦИТ +;-)</w:t>
            </w:r>
          </w:p>
        </w:tc>
        <w:tc>
          <w:tcPr>
            <w:tcW w:w="1144"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r w:rsidRPr="00202F85">
              <w:rPr>
                <w:b/>
                <w:bCs/>
                <w:sz w:val="20"/>
                <w:szCs w:val="20"/>
                <w:lang w:eastAsia="ru-RU"/>
              </w:rPr>
              <w:t>0,0</w:t>
            </w:r>
          </w:p>
        </w:tc>
        <w:tc>
          <w:tcPr>
            <w:tcW w:w="1167"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bookmarkStart w:id="6" w:name="_Hlk195691159"/>
            <w:r w:rsidRPr="00202F85">
              <w:rPr>
                <w:b/>
                <w:bCs/>
                <w:sz w:val="20"/>
                <w:szCs w:val="20"/>
                <w:lang w:eastAsia="ru-RU"/>
              </w:rPr>
              <w:t>22 871,5</w:t>
            </w:r>
            <w:bookmarkEnd w:id="6"/>
          </w:p>
        </w:tc>
        <w:tc>
          <w:tcPr>
            <w:tcW w:w="1291" w:type="dxa"/>
            <w:shd w:val="clear" w:color="auto" w:fill="auto"/>
            <w:noWrap/>
            <w:vAlign w:val="center"/>
            <w:hideMark/>
          </w:tcPr>
          <w:p w:rsidR="00202F85" w:rsidRPr="00202F85" w:rsidRDefault="00202F85" w:rsidP="00202F85">
            <w:pPr>
              <w:widowControl/>
              <w:autoSpaceDE/>
              <w:autoSpaceDN/>
              <w:jc w:val="center"/>
              <w:rPr>
                <w:b/>
                <w:bCs/>
                <w:sz w:val="20"/>
                <w:szCs w:val="20"/>
                <w:lang w:eastAsia="ru-RU"/>
              </w:rPr>
            </w:pPr>
          </w:p>
        </w:tc>
      </w:tr>
    </w:tbl>
    <w:p w:rsidR="00210F48" w:rsidRPr="00202F85" w:rsidRDefault="00202F85" w:rsidP="00987FEB">
      <w:pPr>
        <w:pStyle w:val="a3"/>
        <w:ind w:left="0" w:firstLine="0"/>
        <w:rPr>
          <w:sz w:val="20"/>
          <w:szCs w:val="20"/>
        </w:rPr>
      </w:pPr>
      <w:r w:rsidRPr="00202F85">
        <w:rPr>
          <w:sz w:val="20"/>
          <w:szCs w:val="20"/>
          <w:lang w:eastAsia="ru-RU"/>
        </w:rPr>
        <w:fldChar w:fldCharType="end"/>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bookmarkStart w:id="7" w:name="_GoBack"/>
      <w:bookmarkEnd w:id="7"/>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02F85" w:rsidRDefault="00202F85" w:rsidP="00987FEB">
      <w:pPr>
        <w:pStyle w:val="a3"/>
        <w:ind w:left="0" w:firstLine="0"/>
        <w:rPr>
          <w:sz w:val="20"/>
          <w:szCs w:val="20"/>
        </w:rPr>
      </w:pPr>
    </w:p>
    <w:p w:rsidR="000B132C" w:rsidRDefault="000B132C" w:rsidP="00987FEB">
      <w:pPr>
        <w:pStyle w:val="a3"/>
        <w:ind w:left="0" w:firstLine="0"/>
        <w:rPr>
          <w:sz w:val="20"/>
          <w:szCs w:val="20"/>
        </w:rPr>
      </w:pPr>
    </w:p>
    <w:p w:rsidR="001253DA" w:rsidRDefault="001253DA"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0"/>
      <w:footerReference w:type="default" r:id="rId11"/>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0D" w:rsidRDefault="00FA650D" w:rsidP="00C3483A">
      <w:r>
        <w:separator/>
      </w:r>
    </w:p>
  </w:endnote>
  <w:endnote w:type="continuationSeparator" w:id="0">
    <w:p w:rsidR="00FA650D" w:rsidRDefault="00FA650D"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FE23D6">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0D" w:rsidRDefault="00FA650D" w:rsidP="00C3483A">
      <w:r>
        <w:separator/>
      </w:r>
    </w:p>
  </w:footnote>
  <w:footnote w:type="continuationSeparator" w:id="0">
    <w:p w:rsidR="00FA650D" w:rsidRDefault="00FA650D"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14"/>
  </w:num>
  <w:num w:numId="5">
    <w:abstractNumId w:val="0"/>
  </w:num>
  <w:num w:numId="6">
    <w:abstractNumId w:val="4"/>
  </w:num>
  <w:num w:numId="7">
    <w:abstractNumId w:val="9"/>
  </w:num>
  <w:num w:numId="8">
    <w:abstractNumId w:val="8"/>
  </w:num>
  <w:num w:numId="9">
    <w:abstractNumId w:val="2"/>
  </w:num>
  <w:num w:numId="10">
    <w:abstractNumId w:val="11"/>
  </w:num>
  <w:num w:numId="11">
    <w:abstractNumId w:val="7"/>
  </w:num>
  <w:num w:numId="12">
    <w:abstractNumId w:val="3"/>
  </w:num>
  <w:num w:numId="13">
    <w:abstractNumId w:val="12"/>
  </w:num>
  <w:num w:numId="14">
    <w:abstractNumId w:val="10"/>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2F85"/>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51E58"/>
    <w:rsid w:val="0056408B"/>
    <w:rsid w:val="005659E2"/>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07B0"/>
    <w:rsid w:val="007F3DEC"/>
    <w:rsid w:val="007F46C3"/>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33DE"/>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65A"/>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A650D"/>
    <w:rsid w:val="00FB4CF4"/>
    <w:rsid w:val="00FE23D6"/>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8A125"/>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4143-76AE-4757-A473-27376BC6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5</cp:revision>
  <cp:lastPrinted>2022-08-30T10:07:00Z</cp:lastPrinted>
  <dcterms:created xsi:type="dcterms:W3CDTF">2025-05-14T04:43:00Z</dcterms:created>
  <dcterms:modified xsi:type="dcterms:W3CDTF">2025-05-15T05:10:00Z</dcterms:modified>
</cp:coreProperties>
</file>